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第七师胡杨河市事业单位公开招聘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面试须知及注意事项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因新冠肺炎疫情影响，按照疫情防控减少人员聚集的要求，本次面试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采用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线上面试的方式，请大家仔细阅读以下内容，确保考试顺利进行。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一、面试设备要求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（一）电脑端面试：请准备笔记本电脑或有摄像和语音设备的台式电脑下载腾讯会议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客户端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，用来在线面试。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（二）手机端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第二视角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监控：另外准备智能手机一部下载腾讯会议APP用来进行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面试现场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监控，摆放到自己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身体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后方位45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位置，手机监控需要拍到自己的全身和电脑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屏幕及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）电脑端和手机端都需要用腾讯会议，所以考生需提前准备两个手机号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家人借用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电脑端用一个手机号登录腾讯会议进行线上面试；用另外一个手机号登录腾讯会议进行手机监控；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登录进去后统一将名字改成自己的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【岗位代码】+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【面试序号】。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）考试前请考生准备好备用网络热点，以防考试中设备及网络故障影响考试。未按照要求准备软件的考生，导致自身无法正常进行视频面试，由考生自行承担后果。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考生所在的面试环境应为光线充足、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、无他人、无外界干扰的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独立封闭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场所，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考生端坐在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距离摄像头50cm（误差不超过±5cm），着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正装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，面试时将五官清楚显露，不得佩戴首饰（如发卡、耳环、项链等），头发不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遮挡眉毛，鬓角头发需掖至耳后，不化浓妆。面试背景需保持整洁，考生需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肩部以上呈现在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正面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摄像头可视范围内。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三、线上测试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（一）测试时间：2022年12月22日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（二）线上测试前，以短信或邮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形式向考生发送测试链接，请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在测试当天按照短信要求，根据自己的测试时间提前半小时在电脑谷歌浏览器上打开短信或邮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中的测试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接进入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按照以下步骤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通过网页跳转进入腾讯会议进行面试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电脑端腾讯会议登录步骤：用电脑谷歌浏览器打开短信或邮件内容中的【测试（面试）链接】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确认参加并报名--进入面试大厅--微信扫码登录--等候中--进入面试间。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线上面试登录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流程：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"https://kdocs.cn/l/cnFDol4eJqKJ" </w:instrTex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https://kdocs.cn/l/cnFDol4eJqKJ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务必点击此链接先熟悉登录流程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）考生须在测试时调试完成面试所需要硬件设备和软件要求，如因考生未参加面试线上测试、测试时未将面试设备调试到可用状态，导致正式面试不能正常进行，由考生自行承担后果。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）腾讯会议下载链接：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"https://meeting.tencent.com/activities/index.html"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https://meeting.tencent.com/activities/index.html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Google Chrome 浏览器官网下载链接：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"https://www.google.cn/chrome/"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https://www.google.cn/chrome/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超过规定时间下载而导致考生无法进行面试测试和正式面试的情况，由考生自行承担后果。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四、正式面试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（一）正式面试前，工作人员通过短信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或邮件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向考生发送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正式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面试通知，考生查看后，按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要求登录参加在线面试，因个人原因延迟登录的，视为放弃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（二）受新冠疫情影响，同一职位考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生面试顺序号由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机排列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）参加综合管理类岗位面试为结构化面试，考生面试时间为15分钟。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上午1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0:00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的考生，需在8:30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开始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，将短信或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邮件面试通知内容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的面试链接用谷歌浏览器打开，通过网页跳转到腾讯会议，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进入线上面试间做准备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跟模拟测试流程一样，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同时按要求登录手机端腾讯会议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时间截止到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9:15，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逾期未登录的考生视为放弃。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15:00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面试的考生，需在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13:30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开始登录，登录方式同上，登录时间截止到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14:15，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逾期未登录的考生视为放弃。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）手机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腾讯会议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号会直接放在短信或邮件里，用手机端腾讯会议去登录，切勿登错。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正式面试前，需按照短信要求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将名字更改成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【岗位代码】+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【面试序号】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，面试中不得提及本人姓名、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单位等个人信息，违者一律取消面试成绩。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面试结束后，服从面试助理安排进入候分间等待成绩，综合管理类岗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每半天集中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公布成绩，公布完成绩后，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经工作人员同意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方可下线离开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如有擅自离开视频监控范围的，按违纪处理。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五、成绩公布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面试成绩满分100分，最低合格分数线为60分。考生面试成绩当场公布，面试成绩未达到面试最低合格分数线的，不能进入体检环节。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（一）在正式面试前，请考生将设备及网络调试到最佳状态，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两端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摄像头全程开启。面试过程中考生由于设备硬件故障、断电断网等导致面试无法正常进行的，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工作人员说明情况，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工作人员允许后可进行适当调试设备或更换设备，备课或面试时间不做延长；未经工作人员允许，擅自调整设备或离开视频监控的考生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将取消该考生的面试成绩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（二）为保障面试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的公平性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，请考生在面试过程中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打开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QQ、微信、钉钉、内网通等所有通讯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软件及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远程工具。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如有发现，将取消考生的面试成绩。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面试过程中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保持手机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腾讯会议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麦克风处于关闭状态。面试前需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手机拍摄到面试现场环境（包含考生及面试所使用的电脑桌面，电脑桌面显示须清晰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桌面不得摆放任何与考试无关的物品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；建议将手机放在自己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后方位45°的位置），确保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房间内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他人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（四）候考和面试过程中不得使用手机或其他通讯电子设备，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如在考试过程中发现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电子通讯设备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铃响等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一律视为作弊，取消成绩。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（五）面试完毕的考生需对面试形式及内容进行保密，如后期核查有违规作弊的行为，取消成绩或录用资格。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招聘每个环节都将对考生身份的真实性、一致性进行核实，任何环节发现身份不统一，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七、面试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（一）面试过程中禁止出现人像离屏、左顾右盼、交头接耳等违纪行为；禁止使用外挂插件、强制关机等手段进行作弊。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（二）禁止通过在摄像头范围外放置参考资料、他人协助答题等方式进行面试作弊。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候考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中出现系统故障等需要协助处理的问题，请考生在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候考间打开麦克风请示或举手示意，与面试助理取得联系。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（四）候考过程中，面试助理会对考生的行为进行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，考生本人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始终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在视频范围内，所处面试环境不得有其他人员在场，一经发现，一律按违纪处理。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（五）面试过程中，考生不得中途离开座位，不得浏览网页，不得传递、发送考试内容。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（六）考生若未按要求进行登录、接受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身份信息核查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、候考、面试，导致不能正确记录相关信息，由考生自行承担责任。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（七）面试时不得使用耳机。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（八）面试过程中，考生不得以任何方式透露自己的个人信息（姓名、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家庭住址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、身份证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等），一经发现，立即取消考生面试资格。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违纪处理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面试过程将对考生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候考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、考中、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候分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的行为进行实时监督。如有下列行为之一的，将取消进入下一环节资格，情节严重的按照《事业单位公开招聘考试违纪违规行为处理规定》（人社部令第35号）处理: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(一)使用手机等带有记忆功能的电子设备的，或使用电脑、手机玩游戏、聊微信、QQ、接打电话等，以及做其他和考试无关事情的。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(二)未在规定的环境进行面试的。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(三)不服从工作人员管理，或不服从考官评判的。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(四)佩戴口罩、遮挡面部、无故关闭电脑或者手机摄像头、无故离开视频监控区域，或故意在光线暗处作答的。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(五)伪造资料、身份信息替考的，或其他人员从旁协助进行舞弊的。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(六)与他人交头接耳、传递物品、私藏夹带、传递纸条、佩戴耳机的。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(七)面试过程中透漏本人姓名、学校、住址等个人信息的，或出示含有个人信息的相关证件或材料。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(八)泄漏或者传播面试题目的。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(九)经后台发现，确认考生有其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他违纪、舞弊行为的。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ODk1YWUyYTM4ZTM0OTFkMjljNGVmMjFjMTczMGYifQ=="/>
  </w:docVars>
  <w:rsids>
    <w:rsidRoot w:val="00000000"/>
    <w:rsid w:val="083B041C"/>
    <w:rsid w:val="09011E2C"/>
    <w:rsid w:val="1A3A1141"/>
    <w:rsid w:val="1A5D1D6D"/>
    <w:rsid w:val="1BFE5952"/>
    <w:rsid w:val="2BFD0DDD"/>
    <w:rsid w:val="2CD61FC2"/>
    <w:rsid w:val="2D0B2306"/>
    <w:rsid w:val="2D940987"/>
    <w:rsid w:val="35D703D8"/>
    <w:rsid w:val="36FF60BD"/>
    <w:rsid w:val="41AA0E81"/>
    <w:rsid w:val="43317E23"/>
    <w:rsid w:val="47FD88C9"/>
    <w:rsid w:val="4FF12A3F"/>
    <w:rsid w:val="573638F0"/>
    <w:rsid w:val="5A3063B1"/>
    <w:rsid w:val="5B4152EA"/>
    <w:rsid w:val="5B4B422D"/>
    <w:rsid w:val="65802734"/>
    <w:rsid w:val="69881CD3"/>
    <w:rsid w:val="734E7267"/>
    <w:rsid w:val="798E686F"/>
    <w:rsid w:val="7AAF374C"/>
    <w:rsid w:val="7BBF7A1A"/>
    <w:rsid w:val="7BDDFEA1"/>
    <w:rsid w:val="7EB9E4CD"/>
    <w:rsid w:val="7F7F43F8"/>
    <w:rsid w:val="7FF53E88"/>
    <w:rsid w:val="7FF72FC5"/>
    <w:rsid w:val="7FFD8FE1"/>
    <w:rsid w:val="9A3DA328"/>
    <w:rsid w:val="9BC77A98"/>
    <w:rsid w:val="BDBCA546"/>
    <w:rsid w:val="BFB9E91A"/>
    <w:rsid w:val="C37DF79A"/>
    <w:rsid w:val="C63F59CC"/>
    <w:rsid w:val="DBC15060"/>
    <w:rsid w:val="DE7BD7E3"/>
    <w:rsid w:val="EDD646D6"/>
    <w:rsid w:val="EF7EAC25"/>
    <w:rsid w:val="EFF7A609"/>
    <w:rsid w:val="F648F73D"/>
    <w:rsid w:val="F7CFF807"/>
    <w:rsid w:val="F87DAC68"/>
    <w:rsid w:val="FE90C112"/>
    <w:rsid w:val="FF5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3049</Words>
  <Characters>3244</Characters>
  <Paragraphs>65</Paragraphs>
  <TotalTime>68</TotalTime>
  <ScaleCrop>false</ScaleCrop>
  <LinksUpToDate>false</LinksUpToDate>
  <CharactersWithSpaces>3276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2021-09-12T22:35:00Z</dcterms:created>
  <dc:creator>桉锐</dc:creator>
  <cp:lastModifiedBy>黄雪琴</cp:lastModifiedBy>
  <cp:lastPrinted>2022-12-07T11:33:00Z</cp:lastPrinted>
  <dcterms:modified xsi:type="dcterms:W3CDTF">2022-12-08T07:58:44Z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A6883036AF3CF75F0CB68D63580525B8</vt:lpwstr>
  </property>
</Properties>
</file>